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FB44" w14:textId="3101130B" w:rsidR="00F32914" w:rsidRDefault="00F32914" w:rsidP="00F3291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Adjusting insulin doses based on Dexcom trend arrows</w:t>
      </w:r>
    </w:p>
    <w:p w14:paraId="7ED4003F" w14:textId="77777777" w:rsidR="006F05FA" w:rsidRDefault="006F05FA" w:rsidP="00F32914"/>
    <w:p w14:paraId="75D44933" w14:textId="23834AA9" w:rsidR="00F32914" w:rsidRDefault="00F32914" w:rsidP="00F32914">
      <w:r>
        <w:t xml:space="preserve">This is your worksheet to make treatment decisions based on your Dexcom.  </w:t>
      </w:r>
    </w:p>
    <w:p w14:paraId="489F2D04" w14:textId="60FFFE4D" w:rsidR="006F05FA" w:rsidRPr="002D7186" w:rsidRDefault="006F05FA" w:rsidP="006F05FA">
      <w:pPr>
        <w:ind w:left="720"/>
        <w:rPr>
          <w:b/>
          <w:bCs/>
          <w:i/>
          <w:iCs/>
        </w:rPr>
      </w:pPr>
      <w:r w:rsidRPr="002D7186">
        <w:rPr>
          <w:b/>
          <w:bCs/>
          <w:i/>
          <w:iCs/>
        </w:rPr>
        <w:t>Th</w:t>
      </w:r>
      <w:r w:rsidR="002D7186" w:rsidRPr="002D7186">
        <w:rPr>
          <w:b/>
          <w:bCs/>
          <w:i/>
          <w:iCs/>
        </w:rPr>
        <w:t>e table below</w:t>
      </w:r>
      <w:r w:rsidRPr="002D7186">
        <w:rPr>
          <w:b/>
          <w:bCs/>
          <w:i/>
          <w:iCs/>
        </w:rPr>
        <w:t xml:space="preserve"> is for parents</w:t>
      </w:r>
      <w:r w:rsidR="00E64492">
        <w:rPr>
          <w:b/>
          <w:bCs/>
          <w:i/>
          <w:iCs/>
        </w:rPr>
        <w:t xml:space="preserve"> and guardians </w:t>
      </w:r>
      <w:r w:rsidRPr="002D7186">
        <w:rPr>
          <w:b/>
          <w:bCs/>
          <w:i/>
          <w:iCs/>
        </w:rPr>
        <w:t xml:space="preserve">to use at home.  In the state of Utah, schools cannot legally make any </w:t>
      </w:r>
      <w:r w:rsidR="00E64492">
        <w:rPr>
          <w:b/>
          <w:bCs/>
          <w:i/>
          <w:iCs/>
        </w:rPr>
        <w:t>treatment decisions or insulin dose adjustments</w:t>
      </w:r>
      <w:r w:rsidRPr="002D7186">
        <w:rPr>
          <w:b/>
          <w:bCs/>
          <w:i/>
          <w:iCs/>
        </w:rPr>
        <w:t xml:space="preserve"> based on CGM arrows.  Other states may have different laws.  If a student</w:t>
      </w:r>
      <w:r w:rsidR="00E64492">
        <w:rPr>
          <w:b/>
          <w:bCs/>
          <w:i/>
          <w:iCs/>
        </w:rPr>
        <w:t xml:space="preserve"> is 100% independent in their diabetes management at school and does not need any support from any school personnel, </w:t>
      </w:r>
      <w:r w:rsidR="004057E1">
        <w:rPr>
          <w:b/>
          <w:bCs/>
          <w:i/>
          <w:iCs/>
        </w:rPr>
        <w:t>the student may</w:t>
      </w:r>
      <w:r w:rsidRPr="002D7186">
        <w:rPr>
          <w:b/>
          <w:bCs/>
          <w:i/>
          <w:iCs/>
        </w:rPr>
        <w:t xml:space="preserve"> make these changes</w:t>
      </w:r>
      <w:r w:rsidR="004057E1">
        <w:rPr>
          <w:b/>
          <w:bCs/>
          <w:i/>
          <w:iCs/>
        </w:rPr>
        <w:t xml:space="preserve"> </w:t>
      </w:r>
      <w:r w:rsidR="00E64492">
        <w:rPr>
          <w:b/>
          <w:bCs/>
          <w:i/>
          <w:iCs/>
        </w:rPr>
        <w:t>or decisions independently</w:t>
      </w:r>
      <w:r w:rsidR="004057E1">
        <w:rPr>
          <w:b/>
          <w:bCs/>
          <w:i/>
          <w:iCs/>
        </w:rPr>
        <w:t>.</w:t>
      </w:r>
    </w:p>
    <w:p w14:paraId="3522CD3C" w14:textId="77777777" w:rsidR="00F32914" w:rsidRDefault="00F32914" w:rsidP="00F32914">
      <w:r>
        <w:rPr>
          <w:b/>
          <w:u w:val="single"/>
        </w:rPr>
        <w:t>Step 1</w:t>
      </w:r>
      <w:r>
        <w:t>: Calculate your rapid-acting insulin dose for food and corrections as prescribed by your healthcare professional.</w:t>
      </w:r>
    </w:p>
    <w:p w14:paraId="13284DA4" w14:textId="1B90F58D" w:rsidR="00F32914" w:rsidRDefault="00F32914" w:rsidP="00F32914">
      <w:r>
        <w:rPr>
          <w:b/>
          <w:u w:val="single"/>
        </w:rPr>
        <w:t>Step 2:</w:t>
      </w:r>
      <w:r>
        <w:t xml:space="preserve"> Add or subtract insulin based on your trend arrow.</w:t>
      </w:r>
    </w:p>
    <w:p w14:paraId="721394C1" w14:textId="77777777" w:rsidR="006F05FA" w:rsidRDefault="006F05FA" w:rsidP="006F05FA">
      <w:r>
        <w:t>FOOD + CORRECTION + ARROW = TOTAL INSULIN DOSE</w:t>
      </w:r>
    </w:p>
    <w:p w14:paraId="0C375410" w14:textId="77777777" w:rsidR="00F32914" w:rsidRDefault="00F32914" w:rsidP="00F32914">
      <w:r>
        <w:t xml:space="preserve">Do not take any additional insulin until at least 3 hours from your last dose of rapid-acting insulin. </w:t>
      </w:r>
    </w:p>
    <w:p w14:paraId="41A0A83A" w14:textId="77777777" w:rsidR="00F32914" w:rsidRDefault="00F32914" w:rsidP="00F32914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23"/>
        <w:gridCol w:w="796"/>
        <w:gridCol w:w="1581"/>
        <w:gridCol w:w="2520"/>
        <w:gridCol w:w="2520"/>
        <w:gridCol w:w="2520"/>
      </w:tblGrid>
      <w:tr w:rsidR="00A4504E" w14:paraId="33F2EDC6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EAC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>ARROW DIRECTION</w:t>
            </w:r>
          </w:p>
          <w:p w14:paraId="216E1204" w14:textId="77777777" w:rsidR="00A4504E" w:rsidRDefault="00A4504E">
            <w:pPr>
              <w:spacing w:line="240" w:lineRule="auto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BA7" w14:textId="77777777" w:rsidR="00A4504E" w:rsidRDefault="00A4504E">
            <w:pPr>
              <w:spacing w:line="240" w:lineRule="auto"/>
              <w:rPr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51FC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>CHANGE IN GLUCOSE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2DB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CORRECTION FACTOR OF 1:20, 1:30, 1:40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1B05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CORRECTION FACTOR OF 1:50, 1:75, 1:100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8940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CORRECTION FACTOR OF</w:t>
            </w:r>
          </w:p>
          <w:p w14:paraId="42792E99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1:150, 1:200, </w:t>
            </w:r>
          </w:p>
          <w:p w14:paraId="3DFD6EF6" w14:textId="77777777" w:rsidR="00A4504E" w:rsidRDefault="00A4504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0.5:100, 0.5:75, 0.5:50 </w:t>
            </w:r>
          </w:p>
          <w:p w14:paraId="3E96A2DE" w14:textId="77777777" w:rsidR="00A4504E" w:rsidRDefault="00A4504E">
            <w:pPr>
              <w:spacing w:line="240" w:lineRule="auto"/>
              <w:rPr>
                <w:b/>
              </w:rPr>
            </w:pPr>
          </w:p>
        </w:tc>
      </w:tr>
      <w:tr w:rsidR="00A4504E" w14:paraId="4CB3253A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794" w14:textId="77777777" w:rsidR="00A4504E" w:rsidRDefault="00A4504E">
            <w:pPr>
              <w:spacing w:line="240" w:lineRule="auto"/>
            </w:pPr>
            <w:r>
              <w:t xml:space="preserve">RAPIDLY RISING </w:t>
            </w:r>
          </w:p>
          <w:p w14:paraId="3DFBC9A7" w14:textId="77777777" w:rsidR="00A4504E" w:rsidRDefault="00A4504E">
            <w:pPr>
              <w:spacing w:line="240" w:lineRule="auto"/>
            </w:pPr>
          </w:p>
          <w:p w14:paraId="7F73F10B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9FC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149E6D1C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↑↑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865E" w14:textId="77777777" w:rsidR="00A4504E" w:rsidRDefault="00A4504E">
            <w:pPr>
              <w:spacing w:line="240" w:lineRule="auto"/>
            </w:pPr>
            <w:r>
              <w:t>Increasing &gt;3 mg/dL/min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AA7" w14:textId="77777777" w:rsidR="00A4504E" w:rsidRDefault="00A4504E">
            <w:pPr>
              <w:spacing w:line="240" w:lineRule="auto"/>
            </w:pPr>
            <w:r>
              <w:t>+ 3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5F4" w14:textId="77777777" w:rsidR="00A4504E" w:rsidRDefault="00A4504E">
            <w:pPr>
              <w:spacing w:line="240" w:lineRule="auto"/>
            </w:pPr>
            <w:r>
              <w:t>+ 2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A9BB" w14:textId="77777777" w:rsidR="00A4504E" w:rsidRDefault="00A4504E">
            <w:pPr>
              <w:spacing w:line="240" w:lineRule="auto"/>
            </w:pPr>
            <w:r>
              <w:t>+ 1 unit</w:t>
            </w:r>
          </w:p>
        </w:tc>
      </w:tr>
      <w:tr w:rsidR="00A4504E" w14:paraId="6A3F8270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80D" w14:textId="77777777" w:rsidR="00A4504E" w:rsidRDefault="00A4504E">
            <w:pPr>
              <w:spacing w:line="240" w:lineRule="auto"/>
            </w:pPr>
            <w:r>
              <w:t>RISING</w:t>
            </w:r>
          </w:p>
          <w:p w14:paraId="3C49965E" w14:textId="77777777" w:rsidR="00A4504E" w:rsidRDefault="00A4504E">
            <w:pPr>
              <w:spacing w:line="240" w:lineRule="auto"/>
            </w:pPr>
          </w:p>
          <w:p w14:paraId="6E1A5E1A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001" w14:textId="77777777" w:rsidR="00A4504E" w:rsidRDefault="00A450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A3C00D8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↑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5E4B" w14:textId="77777777" w:rsidR="00A4504E" w:rsidRDefault="00A4504E">
            <w:pPr>
              <w:spacing w:line="240" w:lineRule="auto"/>
            </w:pPr>
            <w:r>
              <w:t>Increasing 2-3 mg/dL/min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5EF3" w14:textId="77777777" w:rsidR="00A4504E" w:rsidRDefault="00A4504E">
            <w:pPr>
              <w:spacing w:line="240" w:lineRule="auto"/>
            </w:pPr>
            <w:r>
              <w:t>+ 2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8C49" w14:textId="77777777" w:rsidR="00A4504E" w:rsidRDefault="00A4504E">
            <w:pPr>
              <w:spacing w:line="240" w:lineRule="auto"/>
            </w:pPr>
            <w:r>
              <w:t>+ 1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7AD" w14:textId="77777777" w:rsidR="00A4504E" w:rsidRDefault="00A4504E">
            <w:pPr>
              <w:spacing w:line="240" w:lineRule="auto"/>
            </w:pPr>
            <w:r>
              <w:t>+ 0.5 unit</w:t>
            </w:r>
          </w:p>
        </w:tc>
      </w:tr>
      <w:tr w:rsidR="00A4504E" w14:paraId="508808A1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48A" w14:textId="77777777" w:rsidR="00A4504E" w:rsidRDefault="00A4504E">
            <w:pPr>
              <w:spacing w:line="240" w:lineRule="auto"/>
            </w:pPr>
            <w:r>
              <w:t>SLOWLY RISING</w:t>
            </w:r>
          </w:p>
          <w:p w14:paraId="2DC6F3A8" w14:textId="77777777" w:rsidR="00A4504E" w:rsidRDefault="00A4504E">
            <w:pPr>
              <w:spacing w:line="240" w:lineRule="auto"/>
            </w:pPr>
          </w:p>
          <w:p w14:paraId="447E3F7C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E84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1C0EE8F5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↗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D207" w14:textId="77777777" w:rsidR="00A4504E" w:rsidRDefault="00A4504E">
            <w:pPr>
              <w:spacing w:line="240" w:lineRule="auto"/>
            </w:pPr>
            <w:r>
              <w:t>Increasing 1-2 mg/dL/min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13E8" w14:textId="77777777" w:rsidR="00A4504E" w:rsidRDefault="00A4504E">
            <w:pPr>
              <w:spacing w:line="240" w:lineRule="auto"/>
            </w:pPr>
            <w:r>
              <w:t>+ 1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A26B" w14:textId="77777777" w:rsidR="00A4504E" w:rsidRDefault="00A4504E">
            <w:pPr>
              <w:spacing w:line="240" w:lineRule="auto"/>
            </w:pPr>
            <w:r>
              <w:t>+ 0.5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CC72" w14:textId="77777777" w:rsidR="00A4504E" w:rsidRDefault="00A4504E">
            <w:pPr>
              <w:spacing w:line="240" w:lineRule="auto"/>
            </w:pPr>
            <w:r>
              <w:t>No adjustment</w:t>
            </w:r>
          </w:p>
        </w:tc>
      </w:tr>
      <w:tr w:rsidR="00A4504E" w14:paraId="50B17048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2D1" w14:textId="77777777" w:rsidR="00A4504E" w:rsidRDefault="00A4504E">
            <w:pPr>
              <w:spacing w:line="240" w:lineRule="auto"/>
            </w:pPr>
            <w:r>
              <w:t>STEADY</w:t>
            </w:r>
          </w:p>
          <w:p w14:paraId="17D2E5BD" w14:textId="77777777" w:rsidR="00A4504E" w:rsidRDefault="00A4504E">
            <w:pPr>
              <w:spacing w:line="240" w:lineRule="auto"/>
            </w:pPr>
          </w:p>
          <w:p w14:paraId="10C444C7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3D9" w14:textId="77777777" w:rsidR="00A4504E" w:rsidRDefault="00A450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C4F675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→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AC2F" w14:textId="77777777" w:rsidR="00A4504E" w:rsidRDefault="00A4504E">
            <w:pPr>
              <w:spacing w:line="240" w:lineRule="auto"/>
            </w:pPr>
            <w:r>
              <w:t>Not increasing or decreasing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46E" w14:textId="77777777" w:rsidR="00A4504E" w:rsidRDefault="00A4504E">
            <w:pPr>
              <w:spacing w:line="240" w:lineRule="auto"/>
            </w:pPr>
            <w:r>
              <w:t>No adjustment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4561" w14:textId="77777777" w:rsidR="00A4504E" w:rsidRDefault="00A4504E">
            <w:pPr>
              <w:spacing w:line="240" w:lineRule="auto"/>
            </w:pPr>
            <w:r>
              <w:t>No adjustment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6C6" w14:textId="77777777" w:rsidR="00A4504E" w:rsidRDefault="00A4504E">
            <w:pPr>
              <w:spacing w:line="240" w:lineRule="auto"/>
            </w:pPr>
            <w:r>
              <w:t>No adjustment</w:t>
            </w:r>
          </w:p>
        </w:tc>
      </w:tr>
      <w:tr w:rsidR="00A4504E" w14:paraId="799045A9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8A4" w14:textId="77777777" w:rsidR="00A4504E" w:rsidRDefault="00A4504E">
            <w:pPr>
              <w:spacing w:line="240" w:lineRule="auto"/>
            </w:pPr>
            <w:r>
              <w:t>SLOWLY FALLING</w:t>
            </w:r>
          </w:p>
          <w:p w14:paraId="60AE674A" w14:textId="77777777" w:rsidR="00A4504E" w:rsidRDefault="00A4504E">
            <w:pPr>
              <w:spacing w:line="240" w:lineRule="auto"/>
            </w:pPr>
          </w:p>
          <w:p w14:paraId="1DBD6850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428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6675A3C2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↘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047" w14:textId="77777777" w:rsidR="00A4504E" w:rsidRDefault="00A4504E">
            <w:pPr>
              <w:spacing w:line="240" w:lineRule="auto"/>
            </w:pPr>
            <w:r>
              <w:t>Decreasing 1-2 mg/dL/min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F5BA" w14:textId="77777777" w:rsidR="00A4504E" w:rsidRDefault="00A4504E">
            <w:pPr>
              <w:spacing w:line="240" w:lineRule="auto"/>
            </w:pPr>
            <w:r>
              <w:t>- 1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A38E" w14:textId="77777777" w:rsidR="00A4504E" w:rsidRDefault="00A4504E">
            <w:pPr>
              <w:spacing w:line="240" w:lineRule="auto"/>
            </w:pPr>
            <w:r>
              <w:t>- 0.5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6743" w14:textId="77777777" w:rsidR="00A4504E" w:rsidRDefault="00A4504E">
            <w:pPr>
              <w:spacing w:line="240" w:lineRule="auto"/>
            </w:pPr>
            <w:r>
              <w:t>No adjustment</w:t>
            </w:r>
          </w:p>
        </w:tc>
      </w:tr>
      <w:tr w:rsidR="00A4504E" w14:paraId="427C7CED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9CF" w14:textId="77777777" w:rsidR="00A4504E" w:rsidRDefault="00A4504E">
            <w:pPr>
              <w:spacing w:line="240" w:lineRule="auto"/>
            </w:pPr>
            <w:r>
              <w:t>FALLING</w:t>
            </w:r>
          </w:p>
          <w:p w14:paraId="16FB25F4" w14:textId="77777777" w:rsidR="00A4504E" w:rsidRDefault="00A4504E">
            <w:pPr>
              <w:spacing w:line="240" w:lineRule="auto"/>
            </w:pPr>
          </w:p>
          <w:p w14:paraId="3BEBCD9E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747" w14:textId="77777777" w:rsidR="00A4504E" w:rsidRDefault="00A4504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9F029AC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↓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A77E" w14:textId="77777777" w:rsidR="00A4504E" w:rsidRDefault="00A4504E">
            <w:pPr>
              <w:spacing w:line="240" w:lineRule="auto"/>
            </w:pPr>
            <w:r>
              <w:t>Decreasing 2-3 mg/dL/min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57ED" w14:textId="77777777" w:rsidR="00A4504E" w:rsidRDefault="00A4504E">
            <w:pPr>
              <w:spacing w:line="240" w:lineRule="auto"/>
            </w:pPr>
            <w:r>
              <w:t>- 2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000F" w14:textId="77777777" w:rsidR="00A4504E" w:rsidRDefault="00A4504E">
            <w:pPr>
              <w:spacing w:line="240" w:lineRule="auto"/>
            </w:pPr>
            <w:r>
              <w:t>- 1 unit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493" w14:textId="77777777" w:rsidR="00A4504E" w:rsidRDefault="00A4504E">
            <w:pPr>
              <w:spacing w:line="240" w:lineRule="auto"/>
            </w:pPr>
            <w:r>
              <w:t>- 0.5 unit</w:t>
            </w:r>
          </w:p>
        </w:tc>
      </w:tr>
      <w:tr w:rsidR="00A4504E" w14:paraId="43BC3396" w14:textId="77777777" w:rsidTr="00A450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B8D" w14:textId="77777777" w:rsidR="00A4504E" w:rsidRDefault="00A4504E">
            <w:pPr>
              <w:spacing w:line="240" w:lineRule="auto"/>
            </w:pPr>
            <w:r>
              <w:t>RAPIDLY FALLING</w:t>
            </w:r>
          </w:p>
          <w:p w14:paraId="46B206B1" w14:textId="77777777" w:rsidR="00A4504E" w:rsidRDefault="00A4504E">
            <w:pPr>
              <w:spacing w:line="240" w:lineRule="auto"/>
            </w:pPr>
          </w:p>
          <w:p w14:paraId="36B77F4E" w14:textId="77777777" w:rsidR="00A4504E" w:rsidRDefault="00A4504E">
            <w:pPr>
              <w:spacing w:line="240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65B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649D4CA" w14:textId="77777777" w:rsidR="00A4504E" w:rsidRDefault="00A4504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↓↓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1A28" w14:textId="77777777" w:rsidR="00A4504E" w:rsidRDefault="00A4504E">
            <w:pPr>
              <w:spacing w:line="240" w:lineRule="auto"/>
            </w:pPr>
            <w:r>
              <w:t>Decreasing &gt;3 mg/dL/min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307" w14:textId="77777777" w:rsidR="00A4504E" w:rsidRDefault="00A4504E">
            <w:pPr>
              <w:spacing w:line="240" w:lineRule="auto"/>
            </w:pPr>
            <w:r>
              <w:t>- 3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3CDC" w14:textId="77777777" w:rsidR="00A4504E" w:rsidRDefault="00A4504E">
            <w:pPr>
              <w:spacing w:line="240" w:lineRule="auto"/>
            </w:pPr>
            <w:r>
              <w:t>- 2 units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8B2D" w14:textId="77777777" w:rsidR="00A4504E" w:rsidRDefault="00A4504E">
            <w:pPr>
              <w:spacing w:line="240" w:lineRule="auto"/>
            </w:pPr>
            <w:r>
              <w:t>- 1 unit</w:t>
            </w:r>
          </w:p>
        </w:tc>
      </w:tr>
    </w:tbl>
    <w:p w14:paraId="2613CD3F" w14:textId="7E38C050" w:rsidR="00F32914" w:rsidRDefault="00F32914" w:rsidP="00F32914"/>
    <w:p w14:paraId="6236C31C" w14:textId="52CB7E4A" w:rsidR="00B567C5" w:rsidRPr="00224D41" w:rsidRDefault="00B567C5" w:rsidP="00B567C5">
      <w:pPr>
        <w:jc w:val="right"/>
        <w:rPr>
          <w:sz w:val="18"/>
          <w:szCs w:val="18"/>
        </w:rPr>
      </w:pPr>
      <w:r w:rsidRPr="00224D41">
        <w:rPr>
          <w:sz w:val="18"/>
          <w:szCs w:val="18"/>
        </w:rPr>
        <w:t xml:space="preserve">Updated </w:t>
      </w:r>
      <w:r w:rsidR="00224D41" w:rsidRPr="00224D41">
        <w:rPr>
          <w:sz w:val="18"/>
          <w:szCs w:val="18"/>
        </w:rPr>
        <w:t>04/27/2023</w:t>
      </w:r>
    </w:p>
    <w:sectPr w:rsidR="00B567C5" w:rsidRPr="00224D41" w:rsidSect="006F05F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4661" w14:textId="77777777" w:rsidR="00F32914" w:rsidRDefault="00F32914" w:rsidP="00F32914">
      <w:pPr>
        <w:spacing w:after="0" w:line="240" w:lineRule="auto"/>
      </w:pPr>
      <w:r>
        <w:separator/>
      </w:r>
    </w:p>
  </w:endnote>
  <w:endnote w:type="continuationSeparator" w:id="0">
    <w:p w14:paraId="4C37FB18" w14:textId="77777777" w:rsidR="00F32914" w:rsidRDefault="00F32914" w:rsidP="00F3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C02B" w14:textId="77777777" w:rsidR="00F32914" w:rsidRDefault="00F32914" w:rsidP="00F32914">
      <w:pPr>
        <w:spacing w:after="0" w:line="240" w:lineRule="auto"/>
      </w:pPr>
      <w:r>
        <w:separator/>
      </w:r>
    </w:p>
  </w:footnote>
  <w:footnote w:type="continuationSeparator" w:id="0">
    <w:p w14:paraId="62CB68B8" w14:textId="77777777" w:rsidR="00F32914" w:rsidRDefault="00F32914" w:rsidP="00F3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4"/>
    <w:rsid w:val="001349E1"/>
    <w:rsid w:val="00224D41"/>
    <w:rsid w:val="002D7186"/>
    <w:rsid w:val="004057E1"/>
    <w:rsid w:val="00423114"/>
    <w:rsid w:val="006F05FA"/>
    <w:rsid w:val="008D0ED3"/>
    <w:rsid w:val="00A4504E"/>
    <w:rsid w:val="00B06B02"/>
    <w:rsid w:val="00B567C5"/>
    <w:rsid w:val="00BE0DDE"/>
    <w:rsid w:val="00E203FB"/>
    <w:rsid w:val="00E64492"/>
    <w:rsid w:val="00F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50F475"/>
  <w15:chartTrackingRefBased/>
  <w15:docId w15:val="{F208E77F-FC8D-4B42-90F9-BE01379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1a4512-8026-4a73-bfb7-8d52c1779a3a}" enabled="1" method="Standard" siteId="{a79016de-bdd0-4e47-91f4-79416ab912a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Kaylynn Buxton</dc:creator>
  <cp:keywords/>
  <dc:description/>
  <cp:lastModifiedBy>Kaylynn Buxton</cp:lastModifiedBy>
  <cp:revision>6</cp:revision>
  <dcterms:created xsi:type="dcterms:W3CDTF">2023-04-27T16:27:00Z</dcterms:created>
  <dcterms:modified xsi:type="dcterms:W3CDTF">2023-05-03T18:52:00Z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etDate">
    <vt:lpwstr>2021-07-08T23:48:18Z</vt:lpwstr>
  </property>
  <property fmtid="{D5CDD505-2E9C-101B-9397-08002B2CF9AE}" pid="4" name="MSIP_Label_ba1a4512-8026-4a73-bfb7-8d52c1779a3a_Method">
    <vt:lpwstr>Standard</vt:lpwstr>
  </property>
  <property fmtid="{D5CDD505-2E9C-101B-9397-08002B2CF9AE}" pid="5" name="MSIP_Label_ba1a4512-8026-4a73-bfb7-8d52c1779a3a_Name">
    <vt:lpwstr>ba1a4512-8026-4a73-bfb7-8d52c1779a3a</vt:lpwstr>
  </property>
  <property fmtid="{D5CDD505-2E9C-101B-9397-08002B2CF9AE}" pid="6" name="MSIP_Label_ba1a4512-8026-4a73-bfb7-8d52c1779a3a_SiteId">
    <vt:lpwstr>a79016de-bdd0-4e47-91f4-79416ab912ad</vt:lpwstr>
  </property>
  <property fmtid="{D5CDD505-2E9C-101B-9397-08002B2CF9AE}" pid="7" name="MSIP_Label_ba1a4512-8026-4a73-bfb7-8d52c1779a3a_ContentBits">
    <vt:lpwstr>0</vt:lpwstr>
  </property>
</Properties>
</file>